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61"/>
          <w:szCs w:val="61"/>
        </w:rPr>
      </w:pPr>
      <w:sdt>
        <w:sdtPr>
          <w:id w:val="212708463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52525"/>
              <w:sz w:val="61"/>
              <w:szCs w:val="61"/>
              <w:rtl w:val="0"/>
            </w:rPr>
            <w:t xml:space="preserve">link วิดีโอแสดงการใช้งานระบบ MY PCU และ MOPH REFER</w:t>
            <w:br w:type="textWrapping"/>
          </w:r>
        </w:sdtContent>
      </w:sdt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61"/>
          <w:szCs w:val="61"/>
          <w:rtl w:val="0"/>
        </w:rPr>
        <w:t xml:space="preserve">https://www.youtube.com/watch?v=E2SgoXkiGGc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mwv8D/x1hNcNEF7dtThgt8wmg==">CgMxLjAaJAoBMBIfCh0IB0IZCgVBcmlhbBIQQXJpYWwgVW5pY29kZSBNUzgAciExeUFiaFA5bXlIVFNIVGl1cGh0cHI2YmxqU2JmdzBfM0s=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